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820"/>
        <w:jc w:val="center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УТВЕРЖДЕНА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4820"/>
        <w:jc w:val="center"/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4820"/>
        <w:jc w:val="center"/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приказом министерства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4820"/>
        <w:jc w:val="center"/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образования Ставропольского края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firstLine="709"/>
        <w:jc w:val="center"/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                                                       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т 11 февраля 2025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№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 159-пр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firstLine="709"/>
        <w:jc w:val="center"/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Инструкция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firstLine="709"/>
        <w:jc w:val="center"/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для организатора в аудитории пункта проведения экзамена,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firstLine="709"/>
        <w:jc w:val="center"/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привлекаемого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к проведению государственной итоговой аттестации    по образовательным программам среднего общего образования в форме государственного выпускного экзамена в пункте проведения экзамена                      в Ставропольском крае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 в 202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 году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spacing w:after="0" w:line="240" w:lineRule="exact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Организатором в аудитории пункта проведения экзамена в соответствии с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Порядком проведения государственной итоговой аттестации по образовательным программам среднего общ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его образования, утвержденным приказом Министерства просвещения Российской Федерации и Федеральной службы по надзору в сфере образования и науки от 04 апреля 2023 года № 233/552 (далее соответственно – организатор в аудитории, ППЭ, Порядок проведения ГИА)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назначается лицо, прошедшее соответствующую подготовку.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Организатор в аудитории не должен являться:</w:t>
      </w:r>
      <w:r>
        <w:rPr>
          <w:highlight w:val="white"/>
        </w:rPr>
        <w:t xml:space="preserve"> </w:t>
      </w:r>
      <w:r>
        <w:rPr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специалистом по учебному предмету при проведении государственной итоговой аттестации по образовательным программам среднего общего образования (далее – ГИА) в ППЭ по данному учебному предмету;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близким родственником, а также супругом, усыновленным, усыновителем участников государственного выпускного экзамена (далее – ГВЭ), сдающих экзамен в данном ППЭ;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педагогическим работником, являющимся учителем участников ГВЭ, сдающих экзамен в данном ППЭ.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Организатор в аудитории проходит инструктаж по порядку и процедуре проведения ГИА, в том числе знакомится с: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нормативными правовыми актами, регламентирующими порядок проведения ГИА, методическими документами Федеральной службы по надзору в сфере образования и науки, рекомендуемыми к использованию при организации и проведении ГИА;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настоящей инструкцией;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правилами оформления ведомостей, протоколов и актов, заполняемых при проведении ГВЭ в аудиториях.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Организатор в аудитории информируется ответственным за проведение ГИА в общеобразовательной организации, работником которой он является, под подпись о ср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оках, местах и порядке проведения ГИА, в том числе о ведении в ППЭ и аудиториях видеозаписи, об основаниях для удаления из ППЭ, о применении мер дисциплинарного и административного воздействия в отношении работников ППЭ, нарушивших Порядок проведения ГИА.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В день проведения экзамена в ППЭ организатору в аудитории запрещается: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иметь при себе средства связи, электронно-вычислительную технику, фото-, видеоаппаратуру, справочные материалы, письменные заметки и иные средства хранения и передачи информации, в том числе иметь при себе художественную литературу и т.д.;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оказывать содействие участникам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ГВЭ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в том числе передавать им средства связи, электронно-вычислительную технику, фото-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аудио- и видеоаппаратуру, справочные материалы, письменные заметки и иные средства хранения и передачи информации (за исключением средств обучения и воспитания, разрешенных к использованию для выполнения заданий КИМ по соответствующим учебным предметам);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выносить из аудиторий и ППЭ черновики, экзаменационные материалы (далее – ЭМ) на бумажном и (или) электронном носителях;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фотографировать ЭМ, черновики;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покидать ППЭ в день проведения экзамена (до окончания процедур, предусмот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ренных Порядком проведения ГИА).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Организатору в аудитории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необходимо помнить, что экзамен проводится в спокойной и доброжелательной обстановке.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contextualSpacing/>
        <w:ind w:firstLine="709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center"/>
        <w:spacing w:after="0" w:line="240" w:lineRule="auto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Организация работы в день проведения ГВЭ</w:t>
      </w:r>
      <w:r>
        <w:rPr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В день проведения ГВЭ организатор в аудитории ППЭ должен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: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1) Прибыть в ППЭ не позднее 08.00 по местному времени.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2) Оставить личные вещи в месте хранения личных вещей, расположенном до входа в ППЭ.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3) Зарегистрироваться у организатора, назначенного руководителем ППЭ, ответственным за регистрацию, лиц, привлекаемых к организации и проведению экзаменов.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4) Пройти инструктаж у руководителя ППЭ по процедуре проведения ГВЭ, который начинается не ранее 08.15 по местному времени.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6) Получить у руководителя ППЭ информацию о назначении ответственных организаторов в аудитории в соответствии со списком распределения организаторов по аудиториям (форма ППЭ-07 «Список работников ППЭ и общественных наблюдателей»).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5) Получить у руководителя ППЭ: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формы ППЭ-05-01-ГВЭ «Список участников ГВЭ в аудитории ППЭ» (два экземпляра), ППЭ-05-02-ГВЭ «Протокол пр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оведения ГВЭ в аудитории», ППЭ-12-02 «Ведомость коррекции персональных данных участников экзамена в аудитории», ППЭ-12-04-МАШ «Ведомость учета времени отсутствия участников экзамена в аудитории», ППЭ-16 «Расшифровка кодов образовательных организаций ППЭ»;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инструкцию для участника ГВЭ, зачитываемую организатором в аудитории перед началом экзамена (одна инструкция на аудиторию) (приложение);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 необходимости инструкцию для участника ГВЭ, зачитываемую организатором в аудитории перед началом экзамена (один экземпляр на участника) и правила заполнения бланков для участников ГВЭ глухим, слабослышащим, позднооглохшим 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кохлеарно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-имплантированным, участникам ГВЭ с расстройствами аутистического спектра;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 необходимости Памятку для ассистентов слепых и слабовидящих участников экзаменов по заполнению рельефно-точечным шрифтом Брайля специальных тетрадей для записи ответов – при наличии таких участников (один экземпляр на участника);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табличку с номером аудитории;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ножницы для вскрытия пакета с ЭМ (в случае если ЭМ доставляются членом ГЭК в день проведения экзамена по соответствующему учебному предмету на бумажных носителях, упакованных в специальные пакеты);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черновики (минимальное количество черновиков: два на одного участника, дополнительные черновики);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конверты для упаковки контрольных измерительных материалов (далее – КИМ), использованных черновиков, электронных (внешних) носителей для записи на них файлов, содержащих ответы участников ГВЭ на задания КИМ (в случае проведения ГВЭ в устной форме);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электронные (внешние) носители для записи на них файлов, содержащих ответы участников ГВЭ на задания КИМ (в случае проведения ГВЭ в устной форме);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напечатанные правила по заполнению бланков ГВЭ, инструкцию, зачитываемую организатором в аудитории перед началом экзамена для выдачи участникам ГВЭ – глухим, слабослышащим, позднооглохшим 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кохлеарно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-имплантированным, участникам ГВЭ с расстройствами аутистического спектра.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6) Не позднее 8.45 по местному времени пройти в свою аудиторию, проверить ее готовность к экзамену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(в том числе готовность средств видеонаблюдения), проветрить аудиторию (при необходимости)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 приступить к выполнению своих обязанностей. В аудитории организатору необходимо: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вывесить у входа в аудиторию один экземпляр списка участников ГИА (форма ППЭ-05-01-ГВЭ «Список участников ГВЭ в аудитории ППЭ»);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раздать на рабочие места участников ГВЭ черновики (минимальное количество черновиков: два на одного участника ГИА);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подготовить на доске необходимую информацию для заполнения регистрационных полей бланков с использованием полученной у руководителя ППЭ формы ППЭ-16 «Расшифровка кодов образовательных организаций ППЭ»;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проверить наличие в аудитории настроенных на точное время часов, находящихся в поле зрения участников ГВЭ;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35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настроить средства цифровой аудиозаписи для осуществления качественной записи устных ответов (при проведении ГВЭ в устной форме)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(в случае если по решению руководителя ППЭ настройку указанных средств осуществляют организаторы, а не технические специалисты).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35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7) Организатор в аудитории должен помнить, что участники ГВЭ могут взять в аудиторию: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35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гелевые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или капиллярные ручки с чернилами черного цвета;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35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документ, удостоверяющий личность;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35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средства обучения и воспитания, которыми разрешено пользоваться для выполнения экзаменационной работы;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35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продукты питания для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дополнительного приема пищи (перекус), бутилированную питьевую воду при условии, что упаковка указанных продуктов питания и воды, а также их потребление не будут отвлекать других участников ГВЭ от выполнения ими экзаменационной работы (при необходимости);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35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специальные технические средства для участников ГВЭ с ограниченными возможностями здоровья, участников ГВЭ детей-инвалидов и инвалидов.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35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Лекарства, которые участники экзаменов приносят с собой в ППЭ, передаются в медицинский кабинет до начала экзамена. В течение экзамена участник может выйти в медицинский кабинет для приема лекарств.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35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При входе участников ГВЭ в аудиторию ответственный организатор должен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: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74"/>
        <w:numPr>
          <w:ilvl w:val="0"/>
          <w:numId w:val="1"/>
        </w:numPr>
        <w:ind w:left="0" w:firstLine="709"/>
        <w:jc w:val="both"/>
        <w:spacing w:after="0" w:line="235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Провести идентификацию личности по документу, удостоверяющему личность участника ГВЭ, проверить корректность указанных в протоколе (форма ППЭ-05-02-ГВЭ «Протокол проведения ГВЭ в аудитории») данных документа, удостоверяющего личность.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74"/>
        <w:numPr>
          <w:ilvl w:val="0"/>
          <w:numId w:val="1"/>
        </w:numPr>
        <w:ind w:left="0" w:firstLine="709"/>
        <w:jc w:val="both"/>
        <w:spacing w:after="0" w:line="235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случае расхождения персональн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ых данных участника ГВЭ в документе, удостоверяющем личность, с данными в форме ППЭ-05-02-ГВЭ «Протокол проведения ГВЭ в аудитории» организатор в аудитории заполняет форму ППЭ-12-02 «Ведомость коррекции персональных данных участников экзамена в аудитории».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pStyle w:val="874"/>
        <w:numPr>
          <w:ilvl w:val="0"/>
          <w:numId w:val="1"/>
        </w:numPr>
        <w:ind w:left="0" w:firstLine="709"/>
        <w:jc w:val="both"/>
        <w:spacing w:after="0" w:line="235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Сообщить участнику ГВЭ номер его рабочего места в аудитории (форма ППЭ-05- 01-ГВЭ «Список участников ГВЭ в аудитории ППЭ»).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pStyle w:val="874"/>
        <w:numPr>
          <w:ilvl w:val="0"/>
          <w:numId w:val="1"/>
        </w:numPr>
        <w:ind w:left="0" w:firstLine="709"/>
        <w:jc w:val="both"/>
        <w:spacing w:after="0" w:line="235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Проследить, чтобы участник ГВЭ занял отведенное ему рабочее место строго в соответствии со списком распределения.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pStyle w:val="874"/>
        <w:numPr>
          <w:ilvl w:val="0"/>
          <w:numId w:val="1"/>
        </w:numPr>
        <w:ind w:left="0" w:firstLine="709"/>
        <w:jc w:val="both"/>
        <w:spacing w:after="0" w:line="235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Следить, чтобы участники ГВЭ не менялись местами.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firstLine="709"/>
        <w:jc w:val="both"/>
        <w:spacing w:after="0" w:line="235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Ответственный организатор в аудитории должен не позднее 09.45 по местному времени получить в штабе ППЭ у руководителя ППЭ ЭМ по форме ППЭ-14-02-ГВЭ «Ведомость учета экзаменационных материалов», в том числе ДБО.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center"/>
        <w:spacing w:after="0" w:line="235" w:lineRule="auto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ind w:firstLine="709"/>
        <w:jc w:val="center"/>
        <w:spacing w:after="0" w:line="235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Проведение ГИА в аудитории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74"/>
        <w:numPr>
          <w:ilvl w:val="0"/>
          <w:numId w:val="2"/>
        </w:numPr>
        <w:ind w:left="0" w:firstLine="709"/>
        <w:jc w:val="both"/>
        <w:spacing w:after="0" w:line="235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Организатор в аудитории должен провести инструктаж участников экзамена. Время, выделенное на инструктаж участников ГИА не включается в продолжительность ГИА по учебным предметам, устанавливаемую едиными расписаниями проведения ГВЭ.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74"/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Инструктаж состоит из двух частей. Первая часть инструктажа проводится с 09.50 по местному времени и включает в себя информирование участников ГВЭ о пор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ядке проведения экзамена, об основаниях для удаления из ППЭ, о процедуре досрочного завершения экзамена по объективным причинам, правилах заполнения бланков и ДБО, продолжительности экзамена по соответствующему учебному предмету, порядке и сроках подачи ап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елляций о нарушении Порядка проведения ГИА и о несогласии с выставленными баллами, а также о времени и месте ознакомления с результатами ГВЭ. Организаторы информируют участников ГВЭ о том, что записи на КИМ и черновиках не обрабатываются и не проверяются.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74"/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Участникам ГВЭ - глухим, слабослышащим, позднооглохшим 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кохлеарно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-имплантированным, участникам ГВЭ с расстройствами аутистического спектра необходимо раздать в напечатанном виде «Правила по заполнению бланков ГВЭ» и «Инструкцию для участника ГВЭ, зачитываемую организатором в аудитории перед началом экзамена».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74"/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Слепым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 слабовидящим участникам ГВЭ, выполняющим экзаменационную работу шрифтом Брайля необходимо раздать Памятку для ассистентов слепых и слабовидящих участников экзаменов по заполнению рельефно-точечным шрифтом Брайля специальных тетрадей для записи ответов.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74"/>
        <w:numPr>
          <w:ilvl w:val="0"/>
          <w:numId w:val="2"/>
        </w:numPr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Выдача ЭМ начинается не ранее 10.00 по местному времени, при этом необходимо: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74"/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выдать участникам ГВЭ ЭМ, которые включают в себя бланки (в том числе бланк ответов при проведении ГВЭ в устной форме, который необходим для полноценной обработки всего комплекта бланков ГВЭ) и КИМ;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74"/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провести вторую часть инструктажа, при которой организатор должен: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74"/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а) дать указание участникам экзамена проверить качество и комплектность ЭМ,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 совпадение кода работы на бланке регистрации и бланке ответов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74"/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б) в случае обнаружения брака или некомплектности ЭМ – выдать участнику ГВЭ новые ЭМ;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74"/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в) дать указание участникам ГВЭ приступить к заполнению регистрационных полей бланков;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74"/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г) проверить у каждого участника ГВЭ правильность заполнения им регистрационных полей бланков и соответствие данных участника ГВЭ (ФИО, серии и номера документа, удостоверяющего личность) в бланке и документе, удостоверяющем личность;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74"/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д) в случае если участник ГВЭ отказывается ставить личную подпись в бланке, организатор в аудитории ставит в указанном б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ланке свою подпись. В случае если участник ГВЭ с ОВЗ, участник ГВЭ-ребенок – инвалид и инвалид не в состоянии по состоянию здоровья поставить свою подпись, подпись ставится ассистентом указанного участника ГВЭ либо ответственным организатором в аудитории;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74"/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е) после проверки правильности заполнения всеми участниками ГВЭ регистрационных полей бланков – объявить начало экзамена и время его окончания, зафиксировать их на доске (информационно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 стенде), после чего участники ГВЭ приступают к выполнению экзаменационной работы. При этом время, выделенное на подготовительные мероприятия, не включается в продолжительность ГВЭ по учебным предметам, устанавливаемую едиными расписаниями проведения ГВЭ.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74"/>
        <w:ind w:left="0" w:firstLine="709"/>
        <w:jc w:val="center"/>
        <w:spacing w:after="0" w:line="240" w:lineRule="auto"/>
        <w:rPr>
          <w:rFonts w:ascii="Times New Roman" w:hAnsi="Times New Roman" w:cs="Times New Roman"/>
          <w:sz w:val="28"/>
          <w:highlight w:val="white"/>
        </w:rPr>
      </w:pPr>
      <w:r>
        <w:rPr>
          <w:rFonts w:ascii="Times New Roman" w:hAnsi="Times New Roman" w:cs="Times New Roman"/>
          <w:sz w:val="28"/>
          <w:highlight w:val="white"/>
        </w:rPr>
      </w:r>
      <w:r>
        <w:rPr>
          <w:rFonts w:ascii="Times New Roman" w:hAnsi="Times New Roman" w:cs="Times New Roman"/>
          <w:sz w:val="28"/>
          <w:highlight w:val="white"/>
        </w:rPr>
      </w:r>
    </w:p>
    <w:p>
      <w:pPr>
        <w:pStyle w:val="874"/>
        <w:ind w:left="0" w:firstLine="709"/>
        <w:jc w:val="center"/>
        <w:spacing w:after="0" w:line="240" w:lineRule="auto"/>
        <w:rPr>
          <w:rFonts w:ascii="Times New Roman" w:hAnsi="Times New Roman" w:cs="Times New Roman"/>
          <w:sz w:val="28"/>
          <w:highlight w:val="white"/>
        </w:rPr>
      </w:pPr>
      <w:r>
        <w:rPr>
          <w:rFonts w:ascii="Times New Roman" w:hAnsi="Times New Roman" w:cs="Times New Roman"/>
          <w:sz w:val="28"/>
          <w:highlight w:val="white"/>
        </w:rPr>
        <w:t xml:space="preserve">Продолжительность выполнения экзаменационной работы ГВЭ (письменная и устная формы)</w:t>
      </w:r>
      <w:r>
        <w:rPr>
          <w:rFonts w:ascii="Times New Roman" w:hAnsi="Times New Roman" w:cs="Times New Roman"/>
          <w:sz w:val="28"/>
          <w:highlight w:val="white"/>
        </w:rPr>
      </w:r>
    </w:p>
    <w:p>
      <w:pPr>
        <w:pStyle w:val="874"/>
        <w:ind w:left="0" w:firstLine="709"/>
        <w:jc w:val="both"/>
        <w:spacing w:after="0" w:line="240" w:lineRule="auto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tbl>
      <w:tblPr>
        <w:tblStyle w:val="875"/>
        <w:tblW w:w="9344" w:type="dxa"/>
        <w:tblLayout w:type="fixed"/>
        <w:tblLook w:val="04A0" w:firstRow="1" w:lastRow="0" w:firstColumn="1" w:lastColumn="0" w:noHBand="0" w:noVBand="1"/>
      </w:tblPr>
      <w:tblGrid>
        <w:gridCol w:w="1623"/>
        <w:gridCol w:w="2295"/>
        <w:gridCol w:w="2525"/>
        <w:gridCol w:w="2901"/>
      </w:tblGrid>
      <w:tr>
        <w:tblPrEx/>
        <w:trPr/>
        <w:tc>
          <w:tcPr>
            <w:tcW w:w="162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exac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Название учебного предмета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W w:w="229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exac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Продолжительность выполнения экзаменационной работы (письменная форма)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W w:w="25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exac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Продолжительность выполнения экзаменационной работы участниками ГВЭ - обучающимися с ОВЗ, детьми-инвалидами и инвалидами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W w:w="29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exac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Продолжительность подготовки ответов на вопросы экзаменационных заданий в устной форме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tcW w:w="1622" w:type="dxa"/>
            <w:vAlign w:val="center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Русский язык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W w:w="229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3 часа 55 минут (235 минут)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W w:w="252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  <w:t xml:space="preserve">5 часов 25 минут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(325 минут)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W w:w="2901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 час (60 минут)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tcW w:w="1622" w:type="dxa"/>
            <w:vAlign w:val="center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Математика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W w:w="2295" w:type="dxa"/>
            <w:vMerge w:val="continue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525" w:type="dxa"/>
            <w:vMerge w:val="continue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901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 час 30 минут (90 минут)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Средства обучения и воспитания, разрешенные к использованию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для выполнения заданий КИМ по соответствующим учебным предметам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tbl>
      <w:tblPr>
        <w:tblStyle w:val="875"/>
        <w:tblW w:w="9343" w:type="dxa"/>
        <w:tblLayout w:type="fixed"/>
        <w:tblLook w:val="04A0" w:firstRow="1" w:lastRow="0" w:firstColumn="1" w:lastColumn="0" w:noHBand="0" w:noVBand="1"/>
      </w:tblPr>
      <w:tblGrid>
        <w:gridCol w:w="1695"/>
        <w:gridCol w:w="4533"/>
        <w:gridCol w:w="3115"/>
      </w:tblGrid>
      <w:tr>
        <w:tblPrEx/>
        <w:trPr/>
        <w:tc>
          <w:tcPr>
            <w:tcW w:w="169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highlight w:val="white"/>
              </w:rPr>
            </w:r>
            <w:bookmarkStart w:id="0" w:name="_GoBack"/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Название учебного предмета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W w:w="45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ГВЭ (письменная форма)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W w:w="31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ГВЭ (устная форма)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tcW w:w="169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Русский язык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W w:w="45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орфографический и толковый словари, предоставленные образовательной организацией, на базе которой организован ППЭ, либо образовательными организациями, обучающиеся которых сдают экзамен в ППЭ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не используются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tcW w:w="169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Математика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7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  <w:t xml:space="preserve">линейка, не содержащая справочной информации;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справочные материалы, содержащие основные формулы курса математики образовательной программы основного общего и среднего общего образования, которые представлены вместе с КИМ</w:t>
            </w:r>
            <w:bookmarkEnd w:id="0"/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r>
          </w:p>
        </w:tc>
      </w:tr>
    </w:tbl>
    <w:p>
      <w:pPr>
        <w:jc w:val="both"/>
        <w:spacing w:after="0" w:line="240" w:lineRule="auto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Во время экзамена в каждой аудитории присутствует не менее двух организаторов в аудитории. В случае необходимости временно покинуть аудиторию следует произвести замену из числа организаторов вне аудитории.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Во время экзамена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1) В случае если участник ГВ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 опоздал на экзамен – участник ГВЭ допускается к сдаче экзамена, при этом время окончания экзамена, зафиксированное на доске (информационном стенде), не продлевается, инструктаж не проводится (за исключением, когда в аудитории нет других участников ГВЭ).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2) В случае если в течение двух часов от начала экзамена ни один из участников ГВЭ, ра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спределенных в аудиторию ППЭ, не явился в ППЭ (отдельные аудитории ППЭ), – организатор сообщает об этом руководителю ППЭ или члену ГЭК, который по согласованию с председателем ГЭК принимает решение об остановке экзамена в ППЭ или отдельных аудиториях ППЭ.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3) При проведении ГВЭ в устной форме на подготовку устного ответа отводится по математике – 1 час 30 минут (90 минут), по русскому языку –                1 час (60 минут).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После подготовки участника ГВЭ приглашают к средству цифровой аудиозаписи. Участник ГВЭ по указанию организатора громко и разборчи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во дает устные ответы на задания. Во время ответа одного участника ГВЭ остальные участники ГВЭ присутствуют в аудитории. Во время устных ответов участника ГВЭ экзаменатор-собеседник при необходимости задает вопросы, которые позволяют участнику ГВЭ уточнить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 (или) дополнить устный ответ в соответствии с требованиями вопроса задания. Технический специалист или организатор предоставляет участнику ГВЭ возможность прослушать запись его устных ответов, чтобы убедиться, что она произведена без технических сбоев.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 выявлении  низкого качества аудиозаписи ответа участника ГВЭ, не позволяющей в дальнейшем в полном объеме оценить ответ, или технического сбоя во время записи участнику ГВЭ по его выбору предоставляется пр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аво сдать экзамен в тот же день или в резервные сроки (принимается решение о том, что участник ГВЭ не завершил экзамен по объективным причинам, с оформлением соответствующего акта – форма ППЭ22 «Акт о досрочном завершении экзамена по объективным причинам»)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74"/>
        <w:numPr>
          <w:ilvl w:val="0"/>
          <w:numId w:val="3"/>
        </w:numPr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Организатор в аудитории должен следить за порядком в аудитории и не допускать: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74"/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разговоров участников ГВЭ между собой;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74"/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обмена любыми материалами и предметами между участниками ГВЭ;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74"/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наличия средств связи, фото-, аудио- и видеоаппаратуры, электрон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но-вычислительной техники, справочных материалов, письменных заметок и иных средств хранения и передачи информации (за исключением средств обучения и воспитания, разрешенных к использованию для выполнения заданий КИМ по соответствующим учебным предметам);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74"/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произвольного выхода участника ГВЭ из аудитории и перемещения по ППЭ без сопровождения организатора вне аудитории;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74"/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выноса из аудиторий и ППЭ черновиков, ЭМ на бумажном и (или) электронном носителях;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74"/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переписывания участниками ГВЭ заданий КИМ в черновики;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74"/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фотографирования ЭМ, черновиков.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74"/>
        <w:numPr>
          <w:ilvl w:val="0"/>
          <w:numId w:val="3"/>
        </w:numPr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Организатор в аудитории должен следить за состоянием здоровья участников ГВЭ. В случае ухудшения состояния здоровья участника ГВЭ или по другим объективным причинам организатор в аудитории должен: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74"/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пригласить организатора вне аудитории, который сопроводит такого участника ГВЭ к медицинскому работнику;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74"/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случае составления членом ГЭК и медицинским работником акта о досроч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ном завершении экзамена по объективным причинам (форма ППЭ-22 «Акт о досрочном завершении экзамена по объективным причинам»): поставить в соответствующем поле бланка участника ГВЭ, досрочно завершившего экзамен по объективным причинам, необходимую отметку.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74"/>
        <w:numPr>
          <w:ilvl w:val="0"/>
          <w:numId w:val="3"/>
        </w:numPr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случае если участник ГВЭ предъявил претензию по содержанию задания своего КИМ организатор в аудитории должен: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74"/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зафиксировать суть претензии в служебной записке и передать ее руководителю ППЭ (служебная записка должна содержать информацию об уникальном номере КИМ, задании и содержании замечания).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74"/>
        <w:numPr>
          <w:ilvl w:val="0"/>
          <w:numId w:val="3"/>
        </w:numPr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случае нехватки места в бланке ответов организатор в аудитории должен: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74"/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убедиться, что бланки ответов полностью заполнены;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74"/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выдать участнику ГВЭ дополнительный бланк;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74"/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зафиксировать связь номеров осн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овного бланка ответов и ДБО в специальных полях бланков. Информация для заполнения полей верхней части ДБО («Код региона», «Код предмета», «Название предмета», «Номер варианта» и «Код работы») должна полностью соответствовать информации бланка регистрации;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74"/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Копировать и выдавать копии ДБО категорически запрещено! При нехватке ДБО необходимо обратиться в штаб ППЭ.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74"/>
        <w:ind w:left="0" w:firstLine="72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8) По мере необходимости участникам ГВЭ выдаются дополнительные черновики. Участники ГВЭ также могут делать пометки в КИМ.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74"/>
        <w:ind w:left="0" w:firstLine="72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9) При выходе участника ГВЭ из аудитории необходимо проверить комплектность оставленных им на рабочем столе ЭМ и черновиков. Каждый выход участника ГВЭ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из аудитории должен быть зафиксирован в форме ППЭ-12-04-МАШ «Ведомость учета времени отсутствия участников экзамена в аудитории». Если один и тот же участник ГВЭ выходит несколько раз, то каждый его выход фиксируется в указанной ведомости в новой строке.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74"/>
        <w:ind w:left="0" w:firstLine="72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10) В случае нарушения требований Порядка проведения ГИА организатор в аудитории должен: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74"/>
        <w:ind w:left="0" w:firstLine="72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сообщить через организатора вне аудитории о нарушении члену ГЭК и (или) руководителю ППЭ;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74"/>
        <w:ind w:left="0" w:firstLine="72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 установлении фактов нарушения Порядка проведения ГИА совместно с членом ГЭК, руководителем ППЭ составить акт об удалении из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ППЭ в двух экземплярах в штабе ППЭ по форме ППЭ-21 «Акт об удалении участника экзамена из ППЭ»;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74"/>
        <w:ind w:left="0" w:firstLine="72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случае удаления участника ГВЭ: поставить в соответствующем поле бланка участника ГВЭ, нарушившего Порядок проведения ГИА, необходимую отметку.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74"/>
        <w:ind w:left="0" w:firstLine="72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11) В случае подачи участником ГВЭ апелляции о нарушении Поря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дка проведения ГИА (апелляция может быть подана участником ГВЭ только до момента выхода из ППЭ) организатор в аудитории должен сообщить члену ГЭК через организатора вне аудитории о желании участника ГИА подать апелляцию о нарушении Порядка проведения ГИА.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74"/>
        <w:ind w:left="0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74"/>
        <w:ind w:left="0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Завершение выполнения экзаменационной работы участниками ГВЭ 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</w:p>
    <w:p>
      <w:pPr>
        <w:pStyle w:val="874"/>
        <w:ind w:left="0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и организация сбора ЭМ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</w:p>
    <w:p>
      <w:pPr>
        <w:pStyle w:val="874"/>
        <w:ind w:left="0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Участники ГВЭ, досрочно заверш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ившие выполнение экзаменационной работы, сдают ЭМ и черновики организаторам и покидают ППЭ, не дожидаясь завершения экзамена. Организатору в аудитории необходимо принять у них все ЭМ, черновики и получить их подпись в форме ППЭ-05-02-ГВЭ «Протокол проведен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ия ГВЭ в аудитории». В случае если участник ГВЭ с ОВЗ, участник ГВЭ-ребенок – инвалид и инвалид не в состоянии по состоянию здоровья поставить свою подпись, подпись ставится ассистентом указанного участника ГВЭ либо ответственным организатором в аудитории.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 30 минут и за 5 минут до окончания экзамена организаторы сообщают участникам ГВЭ о скором завершении экзамена и напоминают о необходимости перенести ответы из черновиков и КИМ в бланки ответов, а также в ДБО (при необходимости).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истечении времени экзамена организатор в аудитории должен: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центре видимости камер видеонаблюдения объявить, что выполнение экзаменационной работы окончено;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попросить положить все ЭМ, черновики на край стола;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собрать у участников ГВЭ ЭМ, черновики;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случае если бланки ответов и ДБО содержат незаполненные области (за исключением регистрационных полей) – погасить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их поставив знак «Z», который свидетельствует о завершении выполнения участником ГВЭ заданий КИМ, ответы на которые оформляются на бланках ответов, ДБО (при их использовании участником ГВЭ), а также свидетельствует о том, что данный участник ГВЭ свою экза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менационную работу завершил, и более не будет возвращаться к оформлению своих ответов на соответствующих бланках. Указанный знак проставляется на последнем листе соответствующего бланка (т.е. знак «Z» ставится только на последнем бланке в конце всей работы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). Например, если участник экзамена выполнил все задания с развернутым ответом (или посильные ему задания), оформил ответы на задания с развернутым ответом на бланках ответов, ДБО не запрашивал и, соответственно, не использовал их, то знак «Z» ставится на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бланке ответов в области указанного бланка, оставшейся незаполненной участником ГВЭ;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заполнить форму ППЭ-05-02-ГВЭ «Протокол проведения ГВЭ в аудитории», получив подпис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 у участников ГВЭ. В случае если участник ГВЭ с ОВЗ, участник ГВЭ ребенок – инвалид и инвалид не в состоянии по состоянию здоровья поставить свою подпись, подпись ставится ассистентом указанного участника ГВЭ либо ответственным организатором в аудитории.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случае использования масштабированных до формата А3 КИМ и бланков организаторы в аудитории собирают только КИМ. КИМ запечатываются в конверты. Бланки и черновики остаются на рабочих местах участников ГВЭ. Ассистент переносит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ответы на задания КИМ, выполненные слабовидящими участниками ГВЭ в бланках увеличенного размера (ДБО увеличенного размера), черновиках, а также ответов на задания КИМ, выполненных участниками ГВЭ на компьютере, в бланки, а также в ДБО (при необходимости).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Оформлен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ие соответствующих форм ППЭ, осуществление раскладки и последующей упаковки организаторами в аудитории ЭМ, собранных у участников ГВЭ, осуществляется в специально выделенном в аудитории месте (на столе), находящемся в зоне видимости камер видеонаблюдения.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Собранные у участников ГВЭ бланки организатор упаковывает в ВДП и запечатывают. Бланки должны быть сложены последовательно по каждому участнику ГВЭ отдельно: сначала бланк регистрации, затем бланк ответов, затем его ДБО.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 ВДП должна быть представлена следующая информация: код региона, номер ППЭ (наименование и адрес), номер аудитории, код учебного предмета, название учебного предмета, по которому проводится ГВЭ, форма ГВЭ (письменная или устная).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отдельные конверты организатор упаковывает КИМ, использованные черновики, затем запечатывает указанные конверты.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 каждом конверте организаторы указывают наименование, адрес и номер ППЭ, номер аудитории, наименование и код учебного предмета, по которому проводился ГВЭ, форму ГВЭ (письменная или устная), количество материалов в пакете.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При этом запрещается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: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использовать какие-либо иные ВДП, конверты вместо выданных;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вкладывать вместе с бланками какие-либо другие материалы;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скреплять бланки (скрепками,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степлером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 т.п.);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менять ориентацию бланков в пакете.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Файлы, содержащие ответы участников ГВЭ на задания КИМ (при проведении ГВЭ в устной форме (при наличии), записываются на электронные (внешние) носители техническими специалистами.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Аудиозаписи устных ответов участников экзамена сохраняются техническим специалистом с присвоением в качестве имени уникального идентификатора (кода работы).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Технический специалист в ППЭ осуществляет копирование всех аудиозаписей устных ответов участников ГВЭ в ППЭ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поаудиторно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 на внешний носитель. По завершении записи он передает внешний носитель руководителю ППЭ в присутствии члена ГЭК в штабе ППЭ за специально отведенным столом, находящимся в зоне видимости камер видеонаблюдения.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Отв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етственный организатор в аудитории по форме ППЭ-14-02-ГВЭ «Ведомость учета экзаменационных материалов» передает руководителю ППЭ в штабе ППЭ за специально подготовленным столом, находящимся в зоне видимости камер видеонаблюдения, в присутствии членов ГЭК: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запечатанные ВДП с бланками;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запечатанные конверты с КИМ;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запечатанные конверты с использованными черновиками;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неиспользованные (или имеющие полиграфические дефекты) бланки;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неиспользованные ДБО;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неиспользованные черновики;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формы ППЭ (ППЭ-05-02-ГВЭ «Протокол проведения ГВЭ в аудитории», ППЭ-12-02 «Ведомость коррекции персональных данных участников экзамена в аудитории», ППЭ-12-04-МАШ «Ведомость учета времени отсутствия участников экзамена в аудитории»);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служебные записки (при наличии).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strike/>
          <w:highlight w:val="white"/>
        </w:rPr>
      </w:pPr>
      <w:r>
        <w:rPr>
          <w:strike/>
          <w:highlight w:val="white"/>
        </w:rPr>
      </w:r>
      <w:r>
        <w:rPr>
          <w:strike/>
          <w:highlight w:val="white"/>
        </w:rPr>
      </w:r>
    </w:p>
    <w:sectPr>
      <w:headerReference w:type="default" r:id="rId9"/>
      <w:footnotePr/>
      <w:endnotePr/>
      <w:type w:val="nextPage"/>
      <w:pgSz w:w="11906" w:h="16838" w:orient="portrait"/>
      <w:pgMar w:top="1418" w:right="567" w:bottom="1134" w:left="1985" w:header="709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egoe UI">
    <w:panose1 w:val="020B0502040204020203"/>
  </w:font>
  <w:font w:name="Noto Sans CJK SC">
    <w:panose1 w:val="020B0502040504020204"/>
  </w:font>
  <w:font w:name="Lohit Devanagari">
    <w:panose1 w:val="020B0600000000000000"/>
  </w:font>
  <w:font w:name="Liberation Sans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1465973"/>
      <w:docPartObj>
        <w:docPartGallery w:val="Page Numbers (Top of Page)"/>
        <w:docPartUnique w:val="true"/>
      </w:docPartObj>
      <w:rPr/>
    </w:sdtPr>
    <w:sdtContent>
      <w:p>
        <w:pPr>
          <w:pStyle w:val="872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 xml:space="preserve">6</w:t>
        </w:r>
        <w:r>
          <w:fldChar w:fldCharType="end"/>
        </w:r>
        <w:r/>
      </w:p>
    </w:sdtContent>
  </w:sdt>
  <w:p>
    <w:pPr>
      <w:pStyle w:val="87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">
    <w:multiLevelType w:val="hybridMultilevel"/>
    <w:lvl w:ilvl="0">
      <w:start w:val="4"/>
      <w:numFmt w:val="decimal"/>
      <w:isLgl w:val="false"/>
      <w:suff w:val="tab"/>
      <w:lvlText w:val="%1)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0" w:leader="none"/>
        </w:tabs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95"/>
    <w:link w:val="686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95"/>
    <w:link w:val="687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95"/>
    <w:link w:val="688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95"/>
    <w:link w:val="689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95"/>
    <w:link w:val="690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95"/>
    <w:link w:val="691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95"/>
    <w:link w:val="6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95"/>
    <w:link w:val="693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95"/>
    <w:link w:val="694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95"/>
    <w:link w:val="708"/>
    <w:uiPriority w:val="10"/>
    <w:rPr>
      <w:sz w:val="48"/>
      <w:szCs w:val="48"/>
    </w:rPr>
  </w:style>
  <w:style w:type="character" w:styleId="37">
    <w:name w:val="Subtitle Char"/>
    <w:basedOn w:val="695"/>
    <w:link w:val="710"/>
    <w:uiPriority w:val="11"/>
    <w:rPr>
      <w:sz w:val="24"/>
      <w:szCs w:val="24"/>
    </w:rPr>
  </w:style>
  <w:style w:type="character" w:styleId="39">
    <w:name w:val="Quote Char"/>
    <w:link w:val="712"/>
    <w:uiPriority w:val="29"/>
    <w:rPr>
      <w:i/>
    </w:rPr>
  </w:style>
  <w:style w:type="character" w:styleId="41">
    <w:name w:val="Intense Quote Char"/>
    <w:link w:val="714"/>
    <w:uiPriority w:val="30"/>
    <w:rPr>
      <w:i/>
    </w:rPr>
  </w:style>
  <w:style w:type="character" w:styleId="43">
    <w:name w:val="Header Char"/>
    <w:basedOn w:val="695"/>
    <w:link w:val="872"/>
    <w:uiPriority w:val="99"/>
  </w:style>
  <w:style w:type="character" w:styleId="47">
    <w:name w:val="Caption Char"/>
    <w:basedOn w:val="695"/>
    <w:link w:val="868"/>
    <w:uiPriority w:val="35"/>
    <w:rPr>
      <w:b/>
      <w:bCs/>
      <w:color w:val="4f81bd" w:themeColor="accent1"/>
      <w:sz w:val="18"/>
      <w:szCs w:val="18"/>
    </w:rPr>
  </w:style>
  <w:style w:type="character" w:styleId="176">
    <w:name w:val="Footnote Text Char"/>
    <w:link w:val="870"/>
    <w:uiPriority w:val="99"/>
    <w:rPr>
      <w:sz w:val="18"/>
    </w:rPr>
  </w:style>
  <w:style w:type="character" w:styleId="179">
    <w:name w:val="Endnote Text Char"/>
    <w:link w:val="847"/>
    <w:uiPriority w:val="99"/>
    <w:rPr>
      <w:sz w:val="20"/>
    </w:rPr>
  </w:style>
  <w:style w:type="paragraph" w:styleId="685" w:default="1">
    <w:name w:val="Normal"/>
    <w:qFormat/>
    <w:pPr>
      <w:spacing w:after="160" w:line="259" w:lineRule="auto"/>
    </w:pPr>
  </w:style>
  <w:style w:type="paragraph" w:styleId="686">
    <w:name w:val="Heading 1"/>
    <w:basedOn w:val="685"/>
    <w:next w:val="685"/>
    <w:link w:val="69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87">
    <w:name w:val="Heading 2"/>
    <w:basedOn w:val="685"/>
    <w:next w:val="685"/>
    <w:link w:val="69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88">
    <w:name w:val="Heading 3"/>
    <w:basedOn w:val="685"/>
    <w:next w:val="685"/>
    <w:link w:val="70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89">
    <w:name w:val="Heading 4"/>
    <w:basedOn w:val="685"/>
    <w:next w:val="685"/>
    <w:link w:val="70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0">
    <w:name w:val="Heading 5"/>
    <w:basedOn w:val="685"/>
    <w:next w:val="685"/>
    <w:link w:val="70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1">
    <w:name w:val="Heading 6"/>
    <w:basedOn w:val="685"/>
    <w:next w:val="685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92">
    <w:name w:val="Heading 7"/>
    <w:basedOn w:val="685"/>
    <w:next w:val="685"/>
    <w:link w:val="70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93">
    <w:name w:val="Heading 8"/>
    <w:basedOn w:val="685"/>
    <w:next w:val="685"/>
    <w:link w:val="70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94">
    <w:name w:val="Heading 9"/>
    <w:basedOn w:val="685"/>
    <w:next w:val="685"/>
    <w:link w:val="70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 w:default="1">
    <w:name w:val="Default Paragraph Font"/>
    <w:uiPriority w:val="1"/>
    <w:semiHidden/>
    <w:unhideWhenUsed/>
  </w:style>
  <w:style w:type="table" w:styleId="69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7" w:default="1">
    <w:name w:val="No List"/>
    <w:uiPriority w:val="99"/>
    <w:semiHidden/>
    <w:unhideWhenUsed/>
  </w:style>
  <w:style w:type="character" w:styleId="698" w:customStyle="1">
    <w:name w:val="Заголовок 1 Знак"/>
    <w:basedOn w:val="695"/>
    <w:link w:val="686"/>
    <w:uiPriority w:val="9"/>
    <w:rPr>
      <w:rFonts w:ascii="Arial" w:hAnsi="Arial" w:eastAsia="Arial" w:cs="Arial"/>
      <w:sz w:val="40"/>
      <w:szCs w:val="40"/>
    </w:rPr>
  </w:style>
  <w:style w:type="character" w:styleId="699" w:customStyle="1">
    <w:name w:val="Заголовок 2 Знак"/>
    <w:basedOn w:val="695"/>
    <w:link w:val="687"/>
    <w:uiPriority w:val="9"/>
    <w:rPr>
      <w:rFonts w:ascii="Arial" w:hAnsi="Arial" w:eastAsia="Arial" w:cs="Arial"/>
      <w:sz w:val="34"/>
    </w:rPr>
  </w:style>
  <w:style w:type="character" w:styleId="700" w:customStyle="1">
    <w:name w:val="Заголовок 3 Знак"/>
    <w:basedOn w:val="695"/>
    <w:link w:val="688"/>
    <w:uiPriority w:val="9"/>
    <w:rPr>
      <w:rFonts w:ascii="Arial" w:hAnsi="Arial" w:eastAsia="Arial" w:cs="Arial"/>
      <w:sz w:val="30"/>
      <w:szCs w:val="30"/>
    </w:rPr>
  </w:style>
  <w:style w:type="character" w:styleId="701" w:customStyle="1">
    <w:name w:val="Заголовок 4 Знак"/>
    <w:basedOn w:val="695"/>
    <w:link w:val="689"/>
    <w:uiPriority w:val="9"/>
    <w:rPr>
      <w:rFonts w:ascii="Arial" w:hAnsi="Arial" w:eastAsia="Arial" w:cs="Arial"/>
      <w:b/>
      <w:bCs/>
      <w:sz w:val="26"/>
      <w:szCs w:val="26"/>
    </w:rPr>
  </w:style>
  <w:style w:type="character" w:styleId="702" w:customStyle="1">
    <w:name w:val="Заголовок 5 Знак"/>
    <w:basedOn w:val="695"/>
    <w:link w:val="690"/>
    <w:uiPriority w:val="9"/>
    <w:rPr>
      <w:rFonts w:ascii="Arial" w:hAnsi="Arial" w:eastAsia="Arial" w:cs="Arial"/>
      <w:b/>
      <w:bCs/>
      <w:sz w:val="24"/>
      <w:szCs w:val="24"/>
    </w:rPr>
  </w:style>
  <w:style w:type="character" w:styleId="703" w:customStyle="1">
    <w:name w:val="Заголовок 6 Знак"/>
    <w:basedOn w:val="695"/>
    <w:link w:val="691"/>
    <w:uiPriority w:val="9"/>
    <w:rPr>
      <w:rFonts w:ascii="Arial" w:hAnsi="Arial" w:eastAsia="Arial" w:cs="Arial"/>
      <w:b/>
      <w:bCs/>
      <w:sz w:val="22"/>
      <w:szCs w:val="22"/>
    </w:rPr>
  </w:style>
  <w:style w:type="character" w:styleId="704" w:customStyle="1">
    <w:name w:val="Заголовок 7 Знак"/>
    <w:basedOn w:val="695"/>
    <w:link w:val="6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5" w:customStyle="1">
    <w:name w:val="Заголовок 8 Знак"/>
    <w:basedOn w:val="695"/>
    <w:link w:val="693"/>
    <w:uiPriority w:val="9"/>
    <w:rPr>
      <w:rFonts w:ascii="Arial" w:hAnsi="Arial" w:eastAsia="Arial" w:cs="Arial"/>
      <w:i/>
      <w:iCs/>
      <w:sz w:val="22"/>
      <w:szCs w:val="22"/>
    </w:rPr>
  </w:style>
  <w:style w:type="character" w:styleId="706" w:customStyle="1">
    <w:name w:val="Заголовок 9 Знак"/>
    <w:basedOn w:val="695"/>
    <w:link w:val="694"/>
    <w:uiPriority w:val="9"/>
    <w:rPr>
      <w:rFonts w:ascii="Arial" w:hAnsi="Arial" w:eastAsia="Arial" w:cs="Arial"/>
      <w:i/>
      <w:iCs/>
      <w:sz w:val="21"/>
      <w:szCs w:val="21"/>
    </w:rPr>
  </w:style>
  <w:style w:type="paragraph" w:styleId="707">
    <w:name w:val="No Spacing"/>
    <w:uiPriority w:val="1"/>
    <w:qFormat/>
  </w:style>
  <w:style w:type="paragraph" w:styleId="708">
    <w:name w:val="Title"/>
    <w:basedOn w:val="685"/>
    <w:next w:val="866"/>
    <w:link w:val="709"/>
    <w:qFormat/>
    <w:pPr>
      <w:keepNext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character" w:styleId="709" w:customStyle="1">
    <w:name w:val="Название Знак"/>
    <w:basedOn w:val="695"/>
    <w:link w:val="708"/>
    <w:uiPriority w:val="10"/>
    <w:rPr>
      <w:sz w:val="48"/>
      <w:szCs w:val="48"/>
    </w:rPr>
  </w:style>
  <w:style w:type="paragraph" w:styleId="710">
    <w:name w:val="Subtitle"/>
    <w:basedOn w:val="685"/>
    <w:next w:val="685"/>
    <w:link w:val="711"/>
    <w:uiPriority w:val="11"/>
    <w:qFormat/>
    <w:pPr>
      <w:spacing w:before="200" w:after="200"/>
    </w:pPr>
    <w:rPr>
      <w:sz w:val="24"/>
      <w:szCs w:val="24"/>
    </w:rPr>
  </w:style>
  <w:style w:type="character" w:styleId="711" w:customStyle="1">
    <w:name w:val="Подзаголовок Знак"/>
    <w:basedOn w:val="695"/>
    <w:link w:val="710"/>
    <w:uiPriority w:val="11"/>
    <w:rPr>
      <w:sz w:val="24"/>
      <w:szCs w:val="24"/>
    </w:rPr>
  </w:style>
  <w:style w:type="paragraph" w:styleId="712">
    <w:name w:val="Quote"/>
    <w:basedOn w:val="685"/>
    <w:next w:val="685"/>
    <w:link w:val="713"/>
    <w:uiPriority w:val="29"/>
    <w:qFormat/>
    <w:pPr>
      <w:ind w:left="720" w:right="720"/>
    </w:pPr>
    <w:rPr>
      <w:i/>
    </w:rPr>
  </w:style>
  <w:style w:type="character" w:styleId="713" w:customStyle="1">
    <w:name w:val="Цитата 2 Знак"/>
    <w:link w:val="712"/>
    <w:uiPriority w:val="29"/>
    <w:rPr>
      <w:i/>
    </w:rPr>
  </w:style>
  <w:style w:type="paragraph" w:styleId="714">
    <w:name w:val="Intense Quote"/>
    <w:basedOn w:val="685"/>
    <w:next w:val="685"/>
    <w:link w:val="71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5" w:customStyle="1">
    <w:name w:val="Выделенная цитата Знак"/>
    <w:link w:val="714"/>
    <w:uiPriority w:val="30"/>
    <w:rPr>
      <w:i/>
    </w:rPr>
  </w:style>
  <w:style w:type="character" w:styleId="716" w:customStyle="1">
    <w:name w:val="Верхний колонтитул Знак1"/>
    <w:basedOn w:val="695"/>
    <w:link w:val="872"/>
    <w:uiPriority w:val="99"/>
  </w:style>
  <w:style w:type="character" w:styleId="717" w:customStyle="1">
    <w:name w:val="Footer Char"/>
    <w:basedOn w:val="695"/>
    <w:uiPriority w:val="99"/>
  </w:style>
  <w:style w:type="character" w:styleId="718" w:customStyle="1">
    <w:name w:val="Нижний колонтитул Знак1"/>
    <w:link w:val="873"/>
    <w:uiPriority w:val="99"/>
  </w:style>
  <w:style w:type="table" w:styleId="719" w:customStyle="1">
    <w:name w:val="Table Grid Light"/>
    <w:basedOn w:val="696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20" w:customStyle="1">
    <w:name w:val="Plain Table 1"/>
    <w:basedOn w:val="696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 w:customStyle="1">
    <w:name w:val="Plain Table 2"/>
    <w:basedOn w:val="696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2" w:customStyle="1">
    <w:name w:val="Plain Table 3"/>
    <w:basedOn w:val="696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3" w:customStyle="1">
    <w:name w:val="Plain Table 4"/>
    <w:basedOn w:val="696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 w:customStyle="1">
    <w:name w:val="Plain Table 5"/>
    <w:basedOn w:val="696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1 Light"/>
    <w:basedOn w:val="696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 w:customStyle="1">
    <w:name w:val="Grid Table 1 Light - Accent 1"/>
    <w:basedOn w:val="696"/>
    <w:uiPriority w:val="99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 w:customStyle="1">
    <w:name w:val="Grid Table 1 Light - Accent 2"/>
    <w:basedOn w:val="696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 w:customStyle="1">
    <w:name w:val="Grid Table 1 Light - Accent 3"/>
    <w:basedOn w:val="696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 w:customStyle="1">
    <w:name w:val="Grid Table 1 Light - Accent 4"/>
    <w:basedOn w:val="696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Grid Table 1 Light - Accent 5"/>
    <w:basedOn w:val="696"/>
    <w:uiPriority w:val="99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Grid Table 1 Light - Accent 6"/>
    <w:basedOn w:val="696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2"/>
    <w:basedOn w:val="696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2 - Accent 1"/>
    <w:basedOn w:val="696"/>
    <w:uiPriority w:val="99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2 - Accent 2"/>
    <w:basedOn w:val="696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2 - Accent 3"/>
    <w:basedOn w:val="696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2 - Accent 4"/>
    <w:basedOn w:val="696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2 - Accent 5"/>
    <w:basedOn w:val="696"/>
    <w:uiPriority w:val="99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2 - Accent 6"/>
    <w:basedOn w:val="696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3"/>
    <w:basedOn w:val="696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3 - Accent 1"/>
    <w:basedOn w:val="696"/>
    <w:uiPriority w:val="99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3 - Accent 2"/>
    <w:basedOn w:val="696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3 - Accent 3"/>
    <w:basedOn w:val="696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3 - Accent 4"/>
    <w:basedOn w:val="696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3 - Accent 5"/>
    <w:basedOn w:val="696"/>
    <w:uiPriority w:val="99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3 - Accent 6"/>
    <w:basedOn w:val="696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4"/>
    <w:basedOn w:val="696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7" w:customStyle="1">
    <w:name w:val="Grid Table 4 - Accent 1"/>
    <w:basedOn w:val="696"/>
    <w:uiPriority w:val="59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748" w:customStyle="1">
    <w:name w:val="Grid Table 4 - Accent 2"/>
    <w:basedOn w:val="696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49" w:customStyle="1">
    <w:name w:val="Grid Table 4 - Accent 3"/>
    <w:basedOn w:val="696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50" w:customStyle="1">
    <w:name w:val="Grid Table 4 - Accent 4"/>
    <w:basedOn w:val="696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51" w:customStyle="1">
    <w:name w:val="Grid Table 4 - Accent 5"/>
    <w:basedOn w:val="696"/>
    <w:uiPriority w:val="59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752" w:customStyle="1">
    <w:name w:val="Grid Table 4 - Accent 6"/>
    <w:basedOn w:val="696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53" w:customStyle="1">
    <w:name w:val="Grid Table 5 Dark"/>
    <w:basedOn w:val="69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54" w:customStyle="1">
    <w:name w:val="Grid Table 5 Dark- Accent 1"/>
    <w:basedOn w:val="69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blStylePr w:type="band1Horz">
      <w:tcPr>
        <w:shd w:val="clear" w:color="a9bee4" w:themeColor="accent1" w:themeTint="75" w:fill="a9bee4" w:themeFill="accent1" w:themeFillTint="75"/>
      </w:tcPr>
    </w:tblStylePr>
    <w:tblStylePr w:type="band1Vert">
      <w:tcPr>
        <w:shd w:val="clear" w:color="a9bee4" w:themeColor="accent1" w:themeTint="75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</w:style>
  <w:style w:type="table" w:styleId="755" w:customStyle="1">
    <w:name w:val="Grid Table 5 Dark - Accent 2"/>
    <w:basedOn w:val="69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56" w:customStyle="1">
    <w:name w:val="Grid Table 5 Dark - Accent 3"/>
    <w:basedOn w:val="69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57" w:customStyle="1">
    <w:name w:val="Grid Table 5 Dark- Accent 4"/>
    <w:basedOn w:val="69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58" w:customStyle="1">
    <w:name w:val="Grid Table 5 Dark - Accent 5"/>
    <w:basedOn w:val="69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blStylePr w:type="band1Horz">
      <w:tcPr>
        <w:shd w:val="clear" w:color="b3d0eb" w:themeColor="accent5" w:themeTint="75" w:fill="b3d0eb" w:themeFill="accent5" w:themeFillTint="7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</w:style>
  <w:style w:type="table" w:styleId="759" w:customStyle="1">
    <w:name w:val="Grid Table 5 Dark - Accent 6"/>
    <w:basedOn w:val="69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60" w:customStyle="1">
    <w:name w:val="Grid Table 6 Colorful"/>
    <w:basedOn w:val="696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1" w:customStyle="1">
    <w:name w:val="Grid Table 6 Colorful - Accent 1"/>
    <w:basedOn w:val="696"/>
    <w:uiPriority w:val="99"/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762" w:customStyle="1">
    <w:name w:val="Grid Table 6 Colorful - Accent 2"/>
    <w:basedOn w:val="696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63" w:customStyle="1">
    <w:name w:val="Grid Table 6 Colorful - Accent 3"/>
    <w:basedOn w:val="696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64" w:customStyle="1">
    <w:name w:val="Grid Table 6 Colorful - Accent 4"/>
    <w:basedOn w:val="696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65" w:customStyle="1">
    <w:name w:val="Grid Table 6 Colorful - Accent 5"/>
    <w:basedOn w:val="696"/>
    <w:uiPriority w:val="99"/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66" w:customStyle="1">
    <w:name w:val="Grid Table 6 Colorful - Accent 6"/>
    <w:basedOn w:val="696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67" w:customStyle="1">
    <w:name w:val="Grid Table 7 Colorful"/>
    <w:basedOn w:val="696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8" w:customStyle="1">
    <w:name w:val="Grid Table 7 Colorful - Accent 1"/>
    <w:basedOn w:val="696"/>
    <w:uiPriority w:val="99"/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0B7E1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0B7E1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9" w:customStyle="1">
    <w:name w:val="Grid Table 7 Colorful - Accent 2"/>
    <w:basedOn w:val="696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0" w:customStyle="1">
    <w:name w:val="Grid Table 7 Colorful - Accent 3"/>
    <w:basedOn w:val="696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1" w:customStyle="1">
    <w:name w:val="Grid Table 7 Colorful - Accent 4"/>
    <w:basedOn w:val="696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2" w:customStyle="1">
    <w:name w:val="Grid Table 7 Colorful - Accent 5"/>
    <w:basedOn w:val="696"/>
    <w:uiPriority w:val="99"/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2C6E7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A2C6E7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3" w:customStyle="1">
    <w:name w:val="Grid Table 7 Colorful - Accent 6"/>
    <w:basedOn w:val="696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4" w:customStyle="1">
    <w:name w:val="List Table 1 Light"/>
    <w:basedOn w:val="696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List Table 1 Light - Accent 1"/>
    <w:basedOn w:val="696"/>
    <w:uiPriority w:val="99"/>
    <w:tblPr>
      <w:tblStyleRowBandSize w:val="1"/>
      <w:tblStyleColBandSize w:val="1"/>
    </w:tblPr>
    <w:tblStylePr w:type="band1Horz"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List Table 1 Light - Accent 2"/>
    <w:basedOn w:val="696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List Table 1 Light - Accent 3"/>
    <w:basedOn w:val="696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List Table 1 Light - Accent 4"/>
    <w:basedOn w:val="696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List Table 1 Light - Accent 5"/>
    <w:basedOn w:val="696"/>
    <w:uiPriority w:val="99"/>
    <w:tblPr>
      <w:tblStyleRowBandSize w:val="1"/>
      <w:tblStyleColBandSize w:val="1"/>
    </w:tblPr>
    <w:tblStylePr w:type="band1Horz"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1 Light - Accent 6"/>
    <w:basedOn w:val="696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2"/>
    <w:basedOn w:val="696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2" w:customStyle="1">
    <w:name w:val="List Table 2 - Accent 1"/>
    <w:basedOn w:val="696"/>
    <w:uiPriority w:val="99"/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783" w:customStyle="1">
    <w:name w:val="List Table 2 - Accent 2"/>
    <w:basedOn w:val="696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84" w:customStyle="1">
    <w:name w:val="List Table 2 - Accent 3"/>
    <w:basedOn w:val="696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85" w:customStyle="1">
    <w:name w:val="List Table 2 - Accent 4"/>
    <w:basedOn w:val="696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86" w:customStyle="1">
    <w:name w:val="List Table 2 - Accent 5"/>
    <w:basedOn w:val="696"/>
    <w:uiPriority w:val="99"/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787" w:customStyle="1">
    <w:name w:val="List Table 2 - Accent 6"/>
    <w:basedOn w:val="696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88" w:customStyle="1">
    <w:name w:val="List Table 3"/>
    <w:basedOn w:val="696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3 - Accent 1"/>
    <w:basedOn w:val="696"/>
    <w:uiPriority w:val="99"/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3 - Accent 2"/>
    <w:basedOn w:val="696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3 - Accent 3"/>
    <w:basedOn w:val="696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3 - Accent 4"/>
    <w:basedOn w:val="696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3 - Accent 5"/>
    <w:basedOn w:val="696"/>
    <w:uiPriority w:val="99"/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3 - Accent 6"/>
    <w:basedOn w:val="696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4"/>
    <w:basedOn w:val="696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4 - Accent 1"/>
    <w:basedOn w:val="696"/>
    <w:uiPriority w:val="99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4 - Accent 2"/>
    <w:basedOn w:val="696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4 - Accent 3"/>
    <w:basedOn w:val="696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4 - Accent 4"/>
    <w:basedOn w:val="696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4 - Accent 5"/>
    <w:basedOn w:val="696"/>
    <w:uiPriority w:val="99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4 - Accent 6"/>
    <w:basedOn w:val="696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5 Dark"/>
    <w:basedOn w:val="696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3" w:customStyle="1">
    <w:name w:val="List Table 5 Dark - Accent 1"/>
    <w:basedOn w:val="696"/>
    <w:uiPriority w:val="99"/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blStylePr w:type="band1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4" w:customStyle="1">
    <w:name w:val="List Table 5 Dark - Accent 2"/>
    <w:basedOn w:val="696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5" w:customStyle="1">
    <w:name w:val="List Table 5 Dark - Accent 3"/>
    <w:basedOn w:val="696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6" w:customStyle="1">
    <w:name w:val="List Table 5 Dark - Accent 4"/>
    <w:basedOn w:val="696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7" w:customStyle="1">
    <w:name w:val="List Table 5 Dark - Accent 5"/>
    <w:basedOn w:val="696"/>
    <w:uiPriority w:val="99"/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blStylePr w:type="band1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8" w:customStyle="1">
    <w:name w:val="List Table 5 Dark - Accent 6"/>
    <w:basedOn w:val="696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6 Colorful"/>
    <w:basedOn w:val="696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0" w:customStyle="1">
    <w:name w:val="List Table 6 Colorful - Accent 1"/>
    <w:basedOn w:val="696"/>
    <w:uiPriority w:val="99"/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811" w:customStyle="1">
    <w:name w:val="List Table 6 Colorful - Accent 2"/>
    <w:basedOn w:val="696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12" w:customStyle="1">
    <w:name w:val="List Table 6 Colorful - Accent 3"/>
    <w:basedOn w:val="696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13" w:customStyle="1">
    <w:name w:val="List Table 6 Colorful - Accent 4"/>
    <w:basedOn w:val="696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14" w:customStyle="1">
    <w:name w:val="List Table 6 Colorful - Accent 5"/>
    <w:basedOn w:val="696"/>
    <w:uiPriority w:val="99"/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815" w:customStyle="1">
    <w:name w:val="List Table 6 Colorful - Accent 6"/>
    <w:basedOn w:val="696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16" w:customStyle="1">
    <w:name w:val="List Table 7 Colorful"/>
    <w:basedOn w:val="696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7" w:customStyle="1">
    <w:name w:val="List Table 7 Colorful - Accent 1"/>
    <w:basedOn w:val="696"/>
    <w:uiPriority w:val="99"/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472C4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472C4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8" w:customStyle="1">
    <w:name w:val="List Table 7 Colorful - Accent 2"/>
    <w:basedOn w:val="696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9" w:customStyle="1">
    <w:name w:val="List Table 7 Colorful - Accent 3"/>
    <w:basedOn w:val="696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0" w:customStyle="1">
    <w:name w:val="List Table 7 Colorful - Accent 4"/>
    <w:basedOn w:val="696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1" w:customStyle="1">
    <w:name w:val="List Table 7 Colorful - Accent 5"/>
    <w:basedOn w:val="696"/>
    <w:uiPriority w:val="99"/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BC2E5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BC2E5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2" w:customStyle="1">
    <w:name w:val="List Table 7 Colorful - Accent 6"/>
    <w:basedOn w:val="696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3" w:customStyle="1">
    <w:name w:val="Lined - Accent"/>
    <w:basedOn w:val="69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4" w:customStyle="1">
    <w:name w:val="Lined - Accent 1"/>
    <w:basedOn w:val="69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25" w:customStyle="1">
    <w:name w:val="Lined - Accent 2"/>
    <w:basedOn w:val="69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6" w:customStyle="1">
    <w:name w:val="Lined - Accent 3"/>
    <w:basedOn w:val="69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7" w:customStyle="1">
    <w:name w:val="Lined - Accent 4"/>
    <w:basedOn w:val="69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8" w:customStyle="1">
    <w:name w:val="Lined - Accent 5"/>
    <w:basedOn w:val="69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29" w:customStyle="1">
    <w:name w:val="Lined - Accent 6"/>
    <w:basedOn w:val="69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0" w:customStyle="1">
    <w:name w:val="Bordered &amp; Lined - Accent"/>
    <w:basedOn w:val="69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1" w:customStyle="1">
    <w:name w:val="Bordered &amp; Lined - Accent 1"/>
    <w:basedOn w:val="69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32" w:customStyle="1">
    <w:name w:val="Bordered &amp; Lined - Accent 2"/>
    <w:basedOn w:val="69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33" w:customStyle="1">
    <w:name w:val="Bordered &amp; Lined - Accent 3"/>
    <w:basedOn w:val="69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4" w:customStyle="1">
    <w:name w:val="Bordered &amp; Lined - Accent 4"/>
    <w:basedOn w:val="69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5" w:customStyle="1">
    <w:name w:val="Bordered &amp; Lined - Accent 5"/>
    <w:basedOn w:val="69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36" w:customStyle="1">
    <w:name w:val="Bordered &amp; Lined - Accent 6"/>
    <w:basedOn w:val="69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7" w:customStyle="1">
    <w:name w:val="Bordered"/>
    <w:basedOn w:val="696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38" w:customStyle="1">
    <w:name w:val="Bordered - Accent 1"/>
    <w:basedOn w:val="696"/>
    <w:uiPriority w:val="99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839" w:customStyle="1">
    <w:name w:val="Bordered - Accent 2"/>
    <w:basedOn w:val="696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40" w:customStyle="1">
    <w:name w:val="Bordered - Accent 3"/>
    <w:basedOn w:val="696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41" w:customStyle="1">
    <w:name w:val="Bordered - Accent 4"/>
    <w:basedOn w:val="696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42" w:customStyle="1">
    <w:name w:val="Bordered - Accent 5"/>
    <w:basedOn w:val="696"/>
    <w:uiPriority w:val="99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843" w:customStyle="1">
    <w:name w:val="Bordered - Accent 6"/>
    <w:basedOn w:val="696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44">
    <w:name w:val="Hyperlink"/>
    <w:uiPriority w:val="99"/>
    <w:unhideWhenUsed/>
    <w:rPr>
      <w:color w:val="0563c1" w:themeColor="hyperlink"/>
      <w:u w:val="single"/>
    </w:rPr>
  </w:style>
  <w:style w:type="character" w:styleId="845" w:customStyle="1">
    <w:name w:val="Текст сноски Знак1"/>
    <w:link w:val="870"/>
    <w:uiPriority w:val="99"/>
    <w:rPr>
      <w:sz w:val="18"/>
    </w:rPr>
  </w:style>
  <w:style w:type="character" w:styleId="846">
    <w:name w:val="footnote reference"/>
    <w:basedOn w:val="695"/>
    <w:uiPriority w:val="99"/>
    <w:unhideWhenUsed/>
    <w:rPr>
      <w:vertAlign w:val="superscript"/>
    </w:rPr>
  </w:style>
  <w:style w:type="paragraph" w:styleId="847">
    <w:name w:val="endnote text"/>
    <w:basedOn w:val="685"/>
    <w:link w:val="848"/>
    <w:uiPriority w:val="99"/>
    <w:semiHidden/>
    <w:unhideWhenUsed/>
    <w:pPr>
      <w:spacing w:after="0" w:line="240" w:lineRule="auto"/>
    </w:pPr>
    <w:rPr>
      <w:sz w:val="20"/>
    </w:rPr>
  </w:style>
  <w:style w:type="character" w:styleId="848" w:customStyle="1">
    <w:name w:val="Текст концевой сноски Знак"/>
    <w:link w:val="847"/>
    <w:uiPriority w:val="99"/>
    <w:rPr>
      <w:sz w:val="20"/>
    </w:rPr>
  </w:style>
  <w:style w:type="character" w:styleId="849">
    <w:name w:val="endnote reference"/>
    <w:basedOn w:val="695"/>
    <w:uiPriority w:val="99"/>
    <w:semiHidden/>
    <w:unhideWhenUsed/>
    <w:rPr>
      <w:vertAlign w:val="superscript"/>
    </w:rPr>
  </w:style>
  <w:style w:type="paragraph" w:styleId="850">
    <w:name w:val="toc 1"/>
    <w:basedOn w:val="685"/>
    <w:next w:val="685"/>
    <w:uiPriority w:val="39"/>
    <w:unhideWhenUsed/>
    <w:pPr>
      <w:spacing w:after="57"/>
    </w:pPr>
  </w:style>
  <w:style w:type="paragraph" w:styleId="851">
    <w:name w:val="toc 2"/>
    <w:basedOn w:val="685"/>
    <w:next w:val="685"/>
    <w:uiPriority w:val="39"/>
    <w:unhideWhenUsed/>
    <w:pPr>
      <w:ind w:left="283"/>
      <w:spacing w:after="57"/>
    </w:pPr>
  </w:style>
  <w:style w:type="paragraph" w:styleId="852">
    <w:name w:val="toc 3"/>
    <w:basedOn w:val="685"/>
    <w:next w:val="685"/>
    <w:uiPriority w:val="39"/>
    <w:unhideWhenUsed/>
    <w:pPr>
      <w:ind w:left="567"/>
      <w:spacing w:after="57"/>
    </w:pPr>
  </w:style>
  <w:style w:type="paragraph" w:styleId="853">
    <w:name w:val="toc 4"/>
    <w:basedOn w:val="685"/>
    <w:next w:val="685"/>
    <w:uiPriority w:val="39"/>
    <w:unhideWhenUsed/>
    <w:pPr>
      <w:ind w:left="850"/>
      <w:spacing w:after="57"/>
    </w:pPr>
  </w:style>
  <w:style w:type="paragraph" w:styleId="854">
    <w:name w:val="toc 5"/>
    <w:basedOn w:val="685"/>
    <w:next w:val="685"/>
    <w:uiPriority w:val="39"/>
    <w:unhideWhenUsed/>
    <w:pPr>
      <w:ind w:left="1134"/>
      <w:spacing w:after="57"/>
    </w:pPr>
  </w:style>
  <w:style w:type="paragraph" w:styleId="855">
    <w:name w:val="toc 6"/>
    <w:basedOn w:val="685"/>
    <w:next w:val="685"/>
    <w:uiPriority w:val="39"/>
    <w:unhideWhenUsed/>
    <w:pPr>
      <w:ind w:left="1417"/>
      <w:spacing w:after="57"/>
    </w:pPr>
  </w:style>
  <w:style w:type="paragraph" w:styleId="856">
    <w:name w:val="toc 7"/>
    <w:basedOn w:val="685"/>
    <w:next w:val="685"/>
    <w:uiPriority w:val="39"/>
    <w:unhideWhenUsed/>
    <w:pPr>
      <w:ind w:left="1701"/>
      <w:spacing w:after="57"/>
    </w:pPr>
  </w:style>
  <w:style w:type="paragraph" w:styleId="857">
    <w:name w:val="toc 8"/>
    <w:basedOn w:val="685"/>
    <w:next w:val="685"/>
    <w:uiPriority w:val="39"/>
    <w:unhideWhenUsed/>
    <w:pPr>
      <w:ind w:left="1984"/>
      <w:spacing w:after="57"/>
    </w:pPr>
  </w:style>
  <w:style w:type="paragraph" w:styleId="858">
    <w:name w:val="toc 9"/>
    <w:basedOn w:val="685"/>
    <w:next w:val="685"/>
    <w:uiPriority w:val="39"/>
    <w:unhideWhenUsed/>
    <w:pPr>
      <w:ind w:left="2268"/>
      <w:spacing w:after="57"/>
    </w:pPr>
  </w:style>
  <w:style w:type="paragraph" w:styleId="859">
    <w:name w:val="TOC Heading"/>
    <w:uiPriority w:val="39"/>
    <w:unhideWhenUsed/>
  </w:style>
  <w:style w:type="paragraph" w:styleId="860">
    <w:name w:val="table of figures"/>
    <w:basedOn w:val="685"/>
    <w:next w:val="685"/>
    <w:uiPriority w:val="99"/>
    <w:unhideWhenUsed/>
    <w:pPr>
      <w:spacing w:after="0"/>
    </w:pPr>
  </w:style>
  <w:style w:type="character" w:styleId="861" w:customStyle="1">
    <w:name w:val="Текст сноски Знак"/>
    <w:basedOn w:val="695"/>
    <w:uiPriority w:val="99"/>
    <w:semiHidden/>
    <w:qFormat/>
    <w:rPr>
      <w:sz w:val="20"/>
      <w:szCs w:val="20"/>
    </w:rPr>
  </w:style>
  <w:style w:type="character" w:styleId="862" w:customStyle="1">
    <w:name w:val="Символ сноски"/>
    <w:basedOn w:val="695"/>
    <w:uiPriority w:val="99"/>
    <w:semiHidden/>
    <w:unhideWhenUsed/>
    <w:qFormat/>
    <w:rPr>
      <w:vertAlign w:val="superscript"/>
    </w:rPr>
  </w:style>
  <w:style w:type="character" w:styleId="863" w:customStyle="1">
    <w:name w:val="Привязка сноски"/>
    <w:rPr>
      <w:vertAlign w:val="superscript"/>
    </w:rPr>
  </w:style>
  <w:style w:type="character" w:styleId="864" w:customStyle="1">
    <w:name w:val="Верхний колонтитул Знак"/>
    <w:basedOn w:val="695"/>
    <w:uiPriority w:val="99"/>
    <w:qFormat/>
  </w:style>
  <w:style w:type="character" w:styleId="865" w:customStyle="1">
    <w:name w:val="Нижний колонтитул Знак"/>
    <w:basedOn w:val="695"/>
    <w:uiPriority w:val="99"/>
    <w:qFormat/>
  </w:style>
  <w:style w:type="paragraph" w:styleId="866">
    <w:name w:val="Body Text"/>
    <w:basedOn w:val="685"/>
    <w:pPr>
      <w:spacing w:after="140" w:line="276" w:lineRule="auto"/>
    </w:pPr>
  </w:style>
  <w:style w:type="paragraph" w:styleId="867">
    <w:name w:val="List"/>
    <w:basedOn w:val="866"/>
    <w:rPr>
      <w:rFonts w:cs="Lohit Devanagari"/>
    </w:rPr>
  </w:style>
  <w:style w:type="paragraph" w:styleId="868">
    <w:name w:val="Caption"/>
    <w:basedOn w:val="685"/>
    <w:qFormat/>
    <w:pPr>
      <w:spacing w:before="120" w:after="120"/>
      <w:suppressLineNumbers/>
    </w:pPr>
    <w:rPr>
      <w:rFonts w:cs="Lohit Devanagari"/>
      <w:i/>
      <w:iCs/>
      <w:sz w:val="24"/>
      <w:szCs w:val="24"/>
    </w:rPr>
  </w:style>
  <w:style w:type="paragraph" w:styleId="869">
    <w:name w:val="index heading"/>
    <w:basedOn w:val="685"/>
    <w:qFormat/>
    <w:pPr>
      <w:suppressLineNumbers/>
    </w:pPr>
    <w:rPr>
      <w:rFonts w:cs="Lohit Devanagari"/>
    </w:rPr>
  </w:style>
  <w:style w:type="paragraph" w:styleId="870">
    <w:name w:val="footnote text"/>
    <w:basedOn w:val="685"/>
    <w:link w:val="845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871" w:customStyle="1">
    <w:name w:val="Колонтитул"/>
    <w:basedOn w:val="685"/>
    <w:qFormat/>
  </w:style>
  <w:style w:type="paragraph" w:styleId="872">
    <w:name w:val="Header"/>
    <w:basedOn w:val="685"/>
    <w:link w:val="71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paragraph" w:styleId="873">
    <w:name w:val="Footer"/>
    <w:basedOn w:val="685"/>
    <w:link w:val="71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paragraph" w:styleId="874">
    <w:name w:val="List Paragraph"/>
    <w:basedOn w:val="685"/>
    <w:uiPriority w:val="34"/>
    <w:qFormat/>
    <w:pPr>
      <w:contextualSpacing/>
      <w:ind w:left="720"/>
    </w:pPr>
  </w:style>
  <w:style w:type="table" w:styleId="875">
    <w:name w:val="Table Grid"/>
    <w:basedOn w:val="696"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76">
    <w:name w:val="Balloon Text"/>
    <w:basedOn w:val="685"/>
    <w:link w:val="87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77" w:customStyle="1">
    <w:name w:val="Текст выноски Знак"/>
    <w:basedOn w:val="695"/>
    <w:link w:val="876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2CF0F-3D7C-40B4-93E7-89F920E95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RCOI</dc:creator>
  <dc:description/>
  <dc:language>ru-RU</dc:language>
  <cp:lastModifiedBy>khvostikova-as</cp:lastModifiedBy>
  <cp:revision>43</cp:revision>
  <dcterms:created xsi:type="dcterms:W3CDTF">2023-02-17T08:10:00Z</dcterms:created>
  <dcterms:modified xsi:type="dcterms:W3CDTF">2025-03-19T14:36:01Z</dcterms:modified>
</cp:coreProperties>
</file>